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Gåvobrev</w:t>
      </w:r>
    </w:p>
    <w:p>
      <w:r>
        <w:rPr>
          <w:b/>
        </w:rPr>
        <w:t>Gåva av pengar eller lös egendom</w:t>
      </w:r>
    </w:p>
    <w:p>
      <w:r>
        <w:rPr>
          <w:b/>
        </w:rPr>
        <w:t>Givare:</w:t>
      </w:r>
      <w:r>
        <w:t xml:space="preserve"> [GIVARENS NAMN], personnummer [PERSONNUMMER], adress [ADRESS]</w:t>
      </w:r>
    </w:p>
    <w:p>
      <w:r>
        <w:rPr>
          <w:b/>
        </w:rPr>
        <w:t>Gåvotagare:</w:t>
      </w:r>
      <w:r>
        <w:t xml:space="preserve"> [GÅVOTAGARENS NAMN], personnummer [PERSONNUMMER], adress [ADRESS]</w:t>
      </w:r>
    </w:p>
    <w:p>
      <w:pPr>
        <w:pStyle w:val="Heading2"/>
      </w:pPr>
      <w:r>
        <w:t>1. Gåvan</w:t>
      </w:r>
    </w:p>
    <w:p>
      <w:r>
        <w:t>Jag, givaren, ger som gåva till gåvotagaren:</w:t>
      </w:r>
    </w:p>
    <w:p>
      <w:r>
        <w:t>[Välj det som gäller och stryk resten]</w:t>
      </w:r>
    </w:p>
    <w:p>
      <w:pPr>
        <w:pStyle w:val="ListBullet"/>
      </w:pPr>
      <w:r>
        <w:t>[BELOPP] kronor (med bokstäver: [BELOPP MED BOKSTÄVER] kronor), som betalas genom [ÖVERFÖRING TILL KONTO / SWISH / KONTANT] den [DATUM].</w:t>
      </w:r>
    </w:p>
    <w:p>
      <w:pPr>
        <w:pStyle w:val="ListBullet"/>
      </w:pPr>
      <w:r>
        <w:t>Följande lösören: [BESKRIVNING, T.EX. MÄRKE, MODELL, SERIENUMMER].</w:t>
      </w:r>
    </w:p>
    <w:p>
      <w:pPr>
        <w:pStyle w:val="ListBullet"/>
      </w:pPr>
      <w:r>
        <w:t>[ANTAL] aktier/andelar i [VÄRDEPAPPER], som förs över till gåvotagarens depå [DEPÅNUMMER].</w:t>
      </w:r>
    </w:p>
    <w:p>
      <w:pPr>
        <w:pStyle w:val="Heading2"/>
      </w:pPr>
      <w:r>
        <w:t>2. Överlämnande</w:t>
      </w:r>
    </w:p>
    <w:p>
      <w:r>
        <w:t>Gåvan lämnas över till gåvotagaren den [DATUM FÖR ÖVERLÄMNANDE]. Detta gåvobrev överlämnas samtidigt till gåvotagaren.</w:t>
      </w:r>
    </w:p>
    <w:p>
      <w:pPr>
        <w:pStyle w:val="Heading2"/>
      </w:pPr>
      <w:r>
        <w:t>3. Villkor</w:t>
      </w:r>
    </w:p>
    <w:p>
      <w:r>
        <w:t>[Välj ett alternativ och stryk det andra]</w:t>
      </w:r>
    </w:p>
    <w:p>
      <w:pPr>
        <w:pStyle w:val="ListBullet"/>
      </w:pPr>
      <w:r>
        <w:t>Gåvan ges utan villkor.</w:t>
      </w:r>
    </w:p>
    <w:p>
      <w:pPr>
        <w:pStyle w:val="ListBullet"/>
      </w:pPr>
      <w:r>
        <w:t>Gåvan ska vara gåvotagarens enskilda egendom. [KONTROLLERA FÖRST REGLERNA I ÄKTENSKAPSBALKEN]</w:t>
      </w:r>
    </w:p>
    <w:p>
      <w:pPr>
        <w:pStyle w:val="Heading2"/>
      </w:pPr>
      <w:r>
        <w:t>4. Förskott på arv</w:t>
      </w:r>
    </w:p>
    <w:p>
      <w:r>
        <w:t>[Välj ett alternativ och stryk det andra]</w:t>
      </w:r>
    </w:p>
    <w:p>
      <w:pPr>
        <w:pStyle w:val="ListBullet"/>
      </w:pPr>
      <w:r>
        <w:t>Gåvan ska räknas som förskott på arv efter mig.</w:t>
      </w:r>
    </w:p>
    <w:p>
      <w:pPr>
        <w:pStyle w:val="ListBullet"/>
      </w:pPr>
      <w:r>
        <w:t>Gåvan ska inte räknas som förskott på arv.</w:t>
      </w:r>
    </w:p>
    <w:p>
      <w:pPr>
        <w:pStyle w:val="Heading2"/>
      </w:pPr>
      <w:r>
        <w:t>5. Underskrifter</w:t>
      </w:r>
    </w:p>
    <w:p>
      <w:r>
        <w:t>[ORT], [DATUM]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769"/>
        <w:gridCol w:w="2769"/>
        <w:gridCol w:w="2769"/>
      </w:tblGrid>
      <w:tr>
        <w:tc>
          <w:tcPr>
            <w:tcW w:type="dxa" w:w="2769"/>
          </w:tcPr>
          <w:p/>
        </w:tc>
        <w:tc>
          <w:tcPr>
            <w:tcW w:type="dxa" w:w="2769"/>
          </w:tcPr>
          <w:p>
            <w:r>
              <w:rPr>
                <w:b/>
              </w:rPr>
              <w:t>Namn</w:t>
            </w:r>
          </w:p>
        </w:tc>
        <w:tc>
          <w:tcPr>
            <w:tcW w:type="dxa" w:w="2769"/>
          </w:tcPr>
          <w:p>
            <w:r>
              <w:rPr>
                <w:b/>
              </w:rPr>
              <w:t>Underskrift</w:t>
            </w:r>
          </w:p>
        </w:tc>
      </w:tr>
      <w:tr>
        <w:tc>
          <w:tcPr>
            <w:tcW w:type="dxa" w:w="2769"/>
          </w:tcPr>
          <w:p>
            <w:r>
              <w:t>Givare</w:t>
            </w:r>
          </w:p>
        </w:tc>
        <w:tc>
          <w:tcPr>
            <w:tcW w:type="dxa" w:w="2769"/>
          </w:tcPr>
          <w:p>
            <w:r>
              <w:t>[GIVARENS 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  <w:tr>
        <w:tc>
          <w:tcPr>
            <w:tcW w:type="dxa" w:w="2769"/>
          </w:tcPr>
          <w:p>
            <w:r>
              <w:t>Gåvotagare, tar emot gåvan</w:t>
            </w:r>
          </w:p>
        </w:tc>
        <w:tc>
          <w:tcPr>
            <w:tcW w:type="dxa" w:w="2769"/>
          </w:tcPr>
          <w:p>
            <w:r>
              <w:t>[GÅVOTAGARENS NAMN]</w:t>
            </w:r>
          </w:p>
        </w:tc>
        <w:tc>
          <w:tcPr>
            <w:tcW w:type="dxa" w:w="2769"/>
          </w:tcPr>
          <w:p>
            <w:r>
              <w:t>____________________</w:t>
            </w:r>
          </w:p>
        </w:tc>
      </w:tr>
    </w:tbl>
    <w:p/>
    <w:p>
      <w:pPr>
        <w:pStyle w:val="Heading2"/>
        <w:pageBreakBefore/>
      </w:pPr>
      <w:r>
        <w:t>För mig: innan jag skriver under</w:t>
      </w:r>
    </w:p>
    <w:p>
      <w:pPr>
        <w:pStyle w:val="ListBullet"/>
      </w:pPr>
      <w:r>
        <w:t>[ ] Gåvobrevet lämnas till gåvotagaren: då gäller utfästelsen även innan gåvan har lämnats över (1 § lagen om vissa utfästelser om gåva)</w:t>
      </w:r>
    </w:p>
    <w:p>
      <w:pPr>
        <w:pStyle w:val="ListBullet"/>
      </w:pPr>
      <w:r>
        <w:t>[ ] Gåvan är fullbordad först när pengarna eller sakerna finns hos gåvotagaren (2 §); värdepapper i värdepapperscentral när de registrerats för gåvotagaren</w:t>
      </w:r>
    </w:p>
    <w:p>
      <w:pPr>
        <w:pStyle w:val="ListBullet"/>
      </w:pPr>
      <w:r>
        <w:t>[ ] Insättning i bank för gåvotagarens räkning utan förbehåll räknas som fullbordad gåva (4 §)</w:t>
      </w:r>
    </w:p>
    <w:p>
      <w:pPr>
        <w:pStyle w:val="ListBullet"/>
      </w:pPr>
      <w:r>
        <w:t>[ ] Mot givarens borgenärer gäller utfästelsen inte förrän gåvan fullbordats (1 § andra stycket)</w:t>
      </w:r>
    </w:p>
    <w:p>
      <w:pPr>
        <w:pStyle w:val="ListBullet"/>
      </w:pPr>
      <w:r>
        <w:t>[ ] Fastighet ges inte med denna mall: där krävs en gåvohandling enligt 4 kap. jordabalken, underskriven av båda (4 kap. 1 och 29 §§)</w:t>
      </w:r>
    </w:p>
    <w:p>
      <w:pPr>
        <w:pStyle w:val="ListBullet"/>
      </w:pPr>
      <w:r>
        <w:t>[ ] Gåva mellan makar: se 8 kap. 2 § äktenskapsbalken (6 § lagen om vissa utfästelser om gåva)</w:t>
      </w:r>
    </w:p>
    <w:p>
      <w:pPr>
        <w:pStyle w:val="ListBullet"/>
      </w:pPr>
      <w:r>
        <w:t>[ ] Har givaren barn: en gåva som till sitt syfte liknar ett testamente kan jämkas för laglott, talan inom ett år efter bouppteckningen (7 kap. 4 § ärvdabalken)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Gåvobrev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