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Divorț la ASP prin acordul soților: fișă de pregătire</w:t>
      </w:r>
    </w:p>
    <w:p>
      <w:r>
        <w:rPr>
          <w:b/>
        </w:rPr>
        <w:t>Soții:</w:t>
      </w:r>
      <w:r>
        <w:t xml:space="preserve"> [NUMELE SOȚULUI] și [NUMELE SOȚIEI]</w:t>
      </w:r>
      <w:r>
        <w:br/>
      </w:r>
      <w:r>
        <w:rPr>
          <w:b/>
        </w:rPr>
        <w:t>Căsătoria înregistrată la:</w:t>
      </w:r>
      <w:r>
        <w:t xml:space="preserve"> [OFICIUL DE STARE CIVILĂ] · data [DATA]</w:t>
      </w:r>
    </w:p>
    <w:p>
      <w:pPr>
        <w:pStyle w:val="Heading2"/>
      </w:pPr>
      <w:r>
        <w:t>1. Ce alegem</w:t>
      </w:r>
    </w:p>
    <w:p>
      <w:pPr>
        <w:pStyle w:val="ListBullet"/>
      </w:pPr>
      <w:r>
        <w:t>[ ] Declarație comună la ASP — 25 de zile lucrătoare</w:t>
      </w:r>
    </w:p>
    <w:p>
      <w:pPr>
        <w:pStyle w:val="ListBullet"/>
      </w:pPr>
      <w:r>
        <w:t>[ ] Încheiere notarială — la ASP se înregistrează în până la 3 zile lucrătoare, gratuit</w:t>
      </w:r>
    </w:p>
    <w:p>
      <w:pPr>
        <w:pStyle w:val="ListBullet"/>
      </w:pPr>
      <w:r>
        <w:t>[ ] Hotărâre judecătorească — la ASP se înregistrează în până la 3 zile lucrătoare, gratuit</w:t>
      </w:r>
    </w:p>
    <w:p>
      <w:pPr>
        <w:pStyle w:val="Heading2"/>
      </w:pPr>
      <w:r>
        <w:t>2. Taxa pentru declarația comună</w:t>
      </w:r>
    </w:p>
    <w:p>
      <w:pPr>
        <w:pStyle w:val="ListBullet"/>
      </w:pPr>
      <w:r>
        <w:t>[ ] La ghișeu: 900 de lei</w:t>
      </w:r>
    </w:p>
    <w:p>
      <w:pPr>
        <w:pStyle w:val="ListBullet"/>
      </w:pPr>
      <w:r>
        <w:t>[ ] Online: 810 lei</w:t>
      </w:r>
    </w:p>
    <w:p>
      <w:r>
        <w:t>Suma include taxa de stat.</w:t>
      </w:r>
    </w:p>
    <w:p>
      <w:pPr>
        <w:pStyle w:val="Heading2"/>
      </w:pPr>
      <w:r>
        <w:t>3. Ce luăm</w:t>
      </w:r>
    </w:p>
    <w:p>
      <w:pPr>
        <w:pStyle w:val="ListBullet"/>
      </w:pPr>
      <w:r>
        <w:t>[ ] Actele de identitate ale ambilor soți</w:t>
      </w:r>
    </w:p>
    <w:p>
      <w:pPr>
        <w:pStyle w:val="ListBullet"/>
      </w:pPr>
      <w:r>
        <w:t>[ ] Certificatul de căsătorie, dacă nu este în arhiva stării civile</w:t>
      </w:r>
    </w:p>
    <w:p>
      <w:pPr>
        <w:pStyle w:val="ListBullet"/>
      </w:pPr>
      <w:r>
        <w:t>[ ] Procura autentificată notarial, dacă unul dintre soți vine prin reprezentant</w:t>
      </w:r>
    </w:p>
    <w:p>
      <w:pPr>
        <w:pStyle w:val="ListBullet"/>
      </w:pPr>
      <w:r>
        <w:t>[ ] Documentele emise în străinătate — cu apostilă sau supralegalizare și traducere autentificată în limba română</w:t>
      </w:r>
    </w:p>
    <w:p>
      <w:pPr>
        <w:pStyle w:val="Heading2"/>
      </w:pPr>
      <w:r>
        <w:t>4. Ce stabilim între noi înainte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Ce</w:t>
            </w:r>
          </w:p>
        </w:tc>
        <w:tc>
          <w:tcPr>
            <w:tcW w:type="dxa" w:w="4153"/>
          </w:tcPr>
          <w:p>
            <w:r>
              <w:rPr>
                <w:b/>
              </w:rPr>
              <w:t>Hotărâm</w:t>
            </w:r>
          </w:p>
        </w:tc>
      </w:tr>
      <w:tr>
        <w:tc>
          <w:tcPr>
            <w:tcW w:type="dxa" w:w="4153"/>
          </w:tcPr>
          <w:p>
            <w:r>
              <w:t>Numele după divorț</w:t>
            </w:r>
          </w:p>
        </w:tc>
        <w:tc>
          <w:tcPr>
            <w:tcW w:type="dxa" w:w="4153"/>
          </w:tcPr>
          <w:p>
            <w:r>
              <w:t>[SOȚUL: …] · [SOȚIA: …]</w:t>
            </w:r>
          </w:p>
        </w:tc>
      </w:tr>
      <w:tr>
        <w:tc>
          <w:tcPr>
            <w:tcW w:type="dxa" w:w="4153"/>
          </w:tcPr>
          <w:p>
            <w:r>
              <w:t>Unde depunem</w:t>
            </w:r>
          </w:p>
        </w:tc>
        <w:tc>
          <w:tcPr>
            <w:tcW w:type="dxa" w:w="4153"/>
          </w:tcPr>
          <w:p>
            <w:r>
              <w:t>[SUBDIVIZIUNEA ASP / ONLINE]</w:t>
            </w:r>
          </w:p>
        </w:tc>
      </w:tr>
      <w:tr>
        <w:tc>
          <w:tcPr>
            <w:tcW w:type="dxa" w:w="4153"/>
          </w:tcPr>
          <w:p>
            <w:r>
              <w:t>Data depunerii</w:t>
            </w:r>
          </w:p>
        </w:tc>
        <w:tc>
          <w:tcPr>
            <w:tcW w:type="dxa" w:w="4153"/>
          </w:tcPr>
          <w:p>
            <w:r>
              <w:t>[DATA]</w:t>
            </w:r>
          </w:p>
        </w:tc>
      </w:tr>
      <w:tr>
        <w:tc>
          <w:tcPr>
            <w:tcW w:type="dxa" w:w="4153"/>
          </w:tcPr>
          <w:p>
            <w:r>
              <w:t>Data înregistrării divorțului (peste 25 de zile lucrătoare)</w:t>
            </w:r>
          </w:p>
        </w:tc>
        <w:tc>
          <w:tcPr>
            <w:tcW w:type="dxa" w:w="4153"/>
          </w:tcPr>
          <w:p>
            <w:r>
              <w:t>[DATA]</w:t>
            </w:r>
          </w:p>
        </w:tc>
      </w:tr>
    </w:tbl>
    <w:p/>
    <w:p>
      <w:pPr>
        <w:pStyle w:val="Heading2"/>
      </w:pPr>
      <w:r>
        <w:t>5. Ce primim</w:t>
      </w:r>
    </w:p>
    <w:p>
      <w:r>
        <w:t>Extrasul electronic de pe actul de divorț.</w:t>
      </w:r>
    </w:p>
    <w:p>
      <w:r>
        <w:t>Notă: lipsa nemotivată a unuia dintre soți la data stabilită nu împiedică desfacerea căsătoriei.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Divorț la ASP prin acordul soților: fișă de pregătire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